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F743D3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A5C5F">
        <w:rPr>
          <w:rFonts w:ascii="Arial" w:eastAsia="MS Mincho" w:hAnsi="Arial" w:cs="Arial"/>
          <w:b/>
          <w:sz w:val="24"/>
          <w:szCs w:val="24"/>
          <w:lang w:eastAsia="ja-JP"/>
        </w:rPr>
        <w:t>4249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1BF9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Siemens</w:t>
      </w:r>
    </w:p>
    <w:p w14:paraId="4711311D" w14:textId="68408B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C27ED">
        <w:rPr>
          <w:rFonts w:ascii="Arial" w:hAnsi="Arial" w:cs="Arial"/>
          <w:b/>
          <w:bCs/>
        </w:rPr>
        <w:t>Use Case on Cooperating Mobile Robots – Update</w:t>
      </w:r>
    </w:p>
    <w:p w14:paraId="7996084A" w14:textId="6945D1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A5C5F">
        <w:rPr>
          <w:rFonts w:ascii="Arial" w:hAnsi="Arial" w:cs="Arial"/>
          <w:b/>
          <w:bCs/>
        </w:rPr>
        <w:t>22.870</w:t>
      </w:r>
    </w:p>
    <w:p w14:paraId="0BC8E829" w14:textId="61CEAF6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8.1.8.1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C2330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080BA8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206078481"/>
      <w:r w:rsidR="00CA5C5F">
        <w:rPr>
          <w:rFonts w:ascii="Arial" w:eastAsia="Calibri" w:hAnsi="Arial" w:cs="Arial"/>
          <w:i/>
          <w:sz w:val="22"/>
          <w:szCs w:val="22"/>
        </w:rPr>
        <w:t xml:space="preserve">Update of Use Case on </w:t>
      </w:r>
      <w:r w:rsidR="00CA5C5F">
        <w:rPr>
          <w:rFonts w:ascii="Arial" w:eastAsia="Calibri" w:hAnsi="Arial" w:cs="Arial"/>
          <w:i/>
          <w:sz w:val="22"/>
          <w:szCs w:val="22"/>
        </w:rPr>
        <w:t>Cooperating Mobile Robots</w:t>
      </w:r>
      <w:r w:rsidR="00CA5C5F">
        <w:rPr>
          <w:rFonts w:ascii="Arial" w:eastAsia="Calibri" w:hAnsi="Arial" w:cs="Arial"/>
          <w:i/>
          <w:sz w:val="22"/>
          <w:szCs w:val="22"/>
        </w:rPr>
        <w:t xml:space="preserve"> for 3GPP SA1 TR 22.870 Clause 11 Further Use Cases on Industry and Verticals.</w:t>
      </w:r>
      <w:bookmarkEnd w:id="0"/>
      <w:r w:rsidR="00CA5C5F">
        <w:rPr>
          <w:rFonts w:ascii="Arial" w:eastAsia="Calibri" w:hAnsi="Arial" w:cs="Arial"/>
          <w:i/>
          <w:sz w:val="22"/>
          <w:szCs w:val="22"/>
        </w:rPr>
        <w:t xml:space="preserve"> KPIs with square brackets / FFS have been resolved.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68206E" w:rsidR="0009108F" w:rsidRPr="0009108F" w:rsidRDefault="00641D53" w:rsidP="0009108F">
      <w:pPr>
        <w:rPr>
          <w:noProof/>
        </w:rPr>
      </w:pPr>
      <w:r>
        <w:rPr>
          <w:noProof/>
        </w:rPr>
        <w:t xml:space="preserve">There have been several KPIs in Tables 11.3.6-1 and 11.3.6-2 with square brackets. </w:t>
      </w:r>
      <w:r w:rsidR="00037044">
        <w:rPr>
          <w:noProof/>
        </w:rPr>
        <w:t>These have been resolved.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1AE34BF" w14:textId="77777777" w:rsidR="00037044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 w:rsidRPr="00037044">
        <w:rPr>
          <w:noProof/>
          <w:lang w:val="en-US"/>
        </w:rPr>
        <w:t xml:space="preserve">Resolution of square brackets around several KPI values in Tables 11.3.6-1 and 11.3.6-2. </w:t>
      </w:r>
    </w:p>
    <w:p w14:paraId="70EDD297" w14:textId="29F7EF3D" w:rsidR="0009108F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 w:rsidRPr="00037044">
        <w:rPr>
          <w:noProof/>
          <w:lang w:val="en-US"/>
        </w:rPr>
        <w:t xml:space="preserve">Three broken </w:t>
      </w:r>
      <w:r>
        <w:rPr>
          <w:noProof/>
          <w:lang w:val="en-US"/>
        </w:rPr>
        <w:t>references</w:t>
      </w:r>
      <w:r w:rsidRPr="00037044">
        <w:rPr>
          <w:noProof/>
          <w:lang w:val="en-US"/>
        </w:rPr>
        <w:t xml:space="preserve"> (internal </w:t>
      </w:r>
      <w:r>
        <w:rPr>
          <w:noProof/>
          <w:lang w:val="en-US"/>
        </w:rPr>
        <w:t>to Clause 11.3) have been corrected.</w:t>
      </w:r>
    </w:p>
    <w:p w14:paraId="045D6FE0" w14:textId="13455ECA" w:rsidR="00037044" w:rsidRPr="00037044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Several improvements for readability.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6713E88" w:rsidR="0009108F" w:rsidRPr="0009108F" w:rsidRDefault="00037044" w:rsidP="0009108F">
      <w:pPr>
        <w:rPr>
          <w:noProof/>
        </w:rPr>
      </w:pPr>
      <w:r>
        <w:rPr>
          <w:noProof/>
        </w:rPr>
        <w:t xml:space="preserve">Square brackets of several KPIs </w:t>
      </w:r>
      <w:r>
        <w:rPr>
          <w:noProof/>
        </w:rPr>
        <w:t>in Tables 11.3.6-1 and 11.3.6-2</w:t>
      </w:r>
      <w:r>
        <w:rPr>
          <w:noProof/>
        </w:rPr>
        <w:t xml:space="preserve"> have been resolved.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3C06F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7044">
        <w:rPr>
          <w:noProof/>
          <w:lang w:val="en-US"/>
        </w:rPr>
        <w:t>22.870 v0.4.1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6FD44CA" w14:textId="77777777" w:rsidR="00CA5C5F" w:rsidRPr="0009108F" w:rsidRDefault="00CA5C5F" w:rsidP="00CA5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8486317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1A47F4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r w:rsidRPr="00634D59">
        <w:rPr>
          <w:rFonts w:ascii="Arial" w:eastAsia="SimSun" w:hAnsi="Arial"/>
          <w:sz w:val="28"/>
          <w:lang w:val="en-US" w:eastAsia="zh-CN"/>
        </w:rPr>
        <w:t>11.</w:t>
      </w:r>
      <w:r w:rsidRPr="00634D59">
        <w:rPr>
          <w:rFonts w:ascii="Arial" w:eastAsia="SimSun" w:hAnsi="Arial" w:hint="eastAsia"/>
          <w:sz w:val="28"/>
          <w:lang w:val="en-US" w:eastAsia="zh-CN"/>
        </w:rPr>
        <w:t>3</w:t>
      </w:r>
      <w:r w:rsidRPr="00634D59">
        <w:rPr>
          <w:rFonts w:ascii="Arial" w:eastAsia="SimSun" w:hAnsi="Arial"/>
          <w:sz w:val="28"/>
          <w:lang w:val="en-US" w:eastAsia="zh-CN"/>
        </w:rPr>
        <w:t>.6</w:t>
      </w:r>
      <w:r w:rsidRPr="00634D59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1"/>
    </w:p>
    <w:p w14:paraId="02474585" w14:textId="77777777" w:rsidR="00634D59" w:rsidRPr="00634D59" w:rsidRDefault="00634D59" w:rsidP="00634D5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634D59">
        <w:rPr>
          <w:lang w:val="en-US" w:eastAsia="ja-JP"/>
        </w:rPr>
        <w:t>[PR</w:t>
      </w:r>
      <w:r w:rsidRPr="00634D59">
        <w:rPr>
          <w:rFonts w:eastAsia="SimSun" w:hint="eastAsia"/>
          <w:lang w:val="en-US" w:eastAsia="zh-CN"/>
        </w:rPr>
        <w:t xml:space="preserve"> </w:t>
      </w:r>
      <w:r w:rsidRPr="00634D59">
        <w:rPr>
          <w:lang w:val="en-US" w:eastAsia="ja-JP"/>
        </w:rPr>
        <w:t>11.</w:t>
      </w:r>
      <w:r w:rsidRPr="00634D59">
        <w:rPr>
          <w:rFonts w:eastAsia="DengXian" w:hint="eastAsia"/>
          <w:lang w:val="en-US" w:eastAsia="zh-CN"/>
        </w:rPr>
        <w:t>3</w:t>
      </w:r>
      <w:r w:rsidRPr="00634D59">
        <w:rPr>
          <w:lang w:val="en-US" w:eastAsia="ja-JP"/>
        </w:rPr>
        <w:t>.6</w:t>
      </w:r>
      <w:r w:rsidRPr="00634D59">
        <w:rPr>
          <w:rFonts w:eastAsia="SimSun" w:hint="eastAsia"/>
          <w:lang w:val="en-US" w:eastAsia="zh-CN"/>
        </w:rPr>
        <w:t>-</w:t>
      </w:r>
      <w:r w:rsidRPr="00634D59">
        <w:rPr>
          <w:lang w:val="en-US" w:eastAsia="ja-JP"/>
        </w:rPr>
        <w:t>1] The 6G System shall be able to support the following performance requirements to support Cooperating Mobile Robots.</w:t>
      </w:r>
    </w:p>
    <w:p w14:paraId="0342A5AF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634D59">
        <w:rPr>
          <w:rFonts w:ascii="Arial" w:hAnsi="Arial"/>
          <w:b/>
          <w:lang w:val="en-US" w:eastAsia="ja-JP"/>
        </w:rPr>
        <w:lastRenderedPageBreak/>
        <w:t>Table 11.</w:t>
      </w:r>
      <w:r w:rsidRPr="00634D59">
        <w:rPr>
          <w:rFonts w:ascii="Arial" w:eastAsia="DengXian" w:hAnsi="Arial" w:hint="eastAsia"/>
          <w:b/>
          <w:lang w:val="en-US" w:eastAsia="zh-CN"/>
        </w:rPr>
        <w:t>3</w:t>
      </w:r>
      <w:r w:rsidRPr="00634D59">
        <w:rPr>
          <w:rFonts w:ascii="Arial" w:hAnsi="Arial"/>
          <w:b/>
          <w:lang w:val="en-US" w:eastAsia="ja-JP"/>
        </w:rPr>
        <w:t>.6-1: Performance Requirements for Cooperating Mobile Robots use case [112]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992"/>
        <w:gridCol w:w="907"/>
        <w:gridCol w:w="907"/>
        <w:gridCol w:w="992"/>
        <w:gridCol w:w="1276"/>
        <w:gridCol w:w="738"/>
        <w:gridCol w:w="963"/>
        <w:gridCol w:w="29"/>
      </w:tblGrid>
      <w:tr w:rsidR="00634D59" w:rsidRPr="00634D59" w14:paraId="681D07B1" w14:textId="77777777" w:rsidTr="00AE0D83">
        <w:trPr>
          <w:tblHeader/>
        </w:trPr>
        <w:tc>
          <w:tcPr>
            <w:tcW w:w="846" w:type="dxa"/>
            <w:vMerge w:val="restart"/>
          </w:tcPr>
          <w:p w14:paraId="2EDADE0E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Use Cases</w:t>
            </w:r>
          </w:p>
        </w:tc>
        <w:tc>
          <w:tcPr>
            <w:tcW w:w="3260" w:type="dxa"/>
            <w:gridSpan w:val="3"/>
          </w:tcPr>
          <w:p w14:paraId="1D858165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Characteristic parameter (KPI)</w:t>
            </w:r>
          </w:p>
        </w:tc>
        <w:tc>
          <w:tcPr>
            <w:tcW w:w="4820" w:type="dxa"/>
            <w:gridSpan w:val="5"/>
          </w:tcPr>
          <w:p w14:paraId="25C1C860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Influence quantity</w:t>
            </w:r>
          </w:p>
        </w:tc>
        <w:tc>
          <w:tcPr>
            <w:tcW w:w="992" w:type="dxa"/>
            <w:gridSpan w:val="2"/>
          </w:tcPr>
          <w:p w14:paraId="1630C5B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Remarks</w:t>
            </w:r>
          </w:p>
        </w:tc>
      </w:tr>
      <w:tr w:rsidR="00634D59" w:rsidRPr="00634D59" w14:paraId="179F7A68" w14:textId="77777777" w:rsidTr="00AE0D83">
        <w:trPr>
          <w:gridAfter w:val="1"/>
          <w:wAfter w:w="29" w:type="dxa"/>
          <w:tblHeader/>
        </w:trPr>
        <w:tc>
          <w:tcPr>
            <w:tcW w:w="846" w:type="dxa"/>
            <w:vMerge/>
          </w:tcPr>
          <w:p w14:paraId="3CBCFCD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134" w:type="dxa"/>
          </w:tcPr>
          <w:p w14:paraId="393BF73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Max allowed end-to-end latency (ms)</w:t>
            </w:r>
          </w:p>
        </w:tc>
        <w:tc>
          <w:tcPr>
            <w:tcW w:w="1134" w:type="dxa"/>
          </w:tcPr>
          <w:p w14:paraId="4C885E5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Application data rate (Mb/s)</w:t>
            </w:r>
          </w:p>
        </w:tc>
        <w:tc>
          <w:tcPr>
            <w:tcW w:w="992" w:type="dxa"/>
          </w:tcPr>
          <w:p w14:paraId="2697E328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Reliability (%)</w:t>
            </w:r>
          </w:p>
        </w:tc>
        <w:tc>
          <w:tcPr>
            <w:tcW w:w="907" w:type="dxa"/>
          </w:tcPr>
          <w:p w14:paraId="2BF24E2C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Message size (byte)</w:t>
            </w:r>
          </w:p>
        </w:tc>
        <w:tc>
          <w:tcPr>
            <w:tcW w:w="907" w:type="dxa"/>
          </w:tcPr>
          <w:p w14:paraId="09ADC34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Service area</w:t>
            </w:r>
          </w:p>
          <w:p w14:paraId="6A28633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(m²)</w:t>
            </w:r>
          </w:p>
        </w:tc>
        <w:tc>
          <w:tcPr>
            <w:tcW w:w="992" w:type="dxa"/>
          </w:tcPr>
          <w:p w14:paraId="2A72FD3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Transfer interval (ms)</w:t>
            </w:r>
          </w:p>
        </w:tc>
        <w:tc>
          <w:tcPr>
            <w:tcW w:w="1276" w:type="dxa"/>
          </w:tcPr>
          <w:p w14:paraId="1868DE5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Connection density</w:t>
            </w:r>
          </w:p>
          <w:p w14:paraId="0A270574" w14:textId="5004EDB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[devices/m</w:t>
            </w:r>
            <w:ins w:id="2" w:author="Michael Bahr (Siemens)" w:date="2025-11-06T17:48:00Z" w16du:dateUtc="2025-11-06T16:48:00Z">
              <w:r w:rsidR="00AE0D83" w:rsidRPr="00AE0D83">
                <w:rPr>
                  <w:rFonts w:ascii="Arial" w:hAnsi="Arial"/>
                  <w:b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</w:ins>
            <w:del w:id="3" w:author="Michael Bahr (Siemens)" w:date="2025-11-06T17:49:00Z" w16du:dateUtc="2025-11-06T16:49:00Z">
              <w:r w:rsidRPr="00634D59" w:rsidDel="00AE0D83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2</w:delText>
              </w:r>
            </w:del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]</w:t>
            </w:r>
          </w:p>
        </w:tc>
        <w:tc>
          <w:tcPr>
            <w:tcW w:w="738" w:type="dxa"/>
          </w:tcPr>
          <w:p w14:paraId="1608F60E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UE speed (km/h)</w:t>
            </w:r>
          </w:p>
        </w:tc>
        <w:tc>
          <w:tcPr>
            <w:tcW w:w="963" w:type="dxa"/>
          </w:tcPr>
          <w:p w14:paraId="70D4326D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</w:p>
        </w:tc>
      </w:tr>
      <w:tr w:rsidR="00634D59" w:rsidRPr="00634D59" w14:paraId="2CC58FA3" w14:textId="77777777" w:rsidTr="00AE0D83">
        <w:trPr>
          <w:gridAfter w:val="1"/>
          <w:wAfter w:w="29" w:type="dxa"/>
          <w:tblHeader/>
        </w:trPr>
        <w:tc>
          <w:tcPr>
            <w:tcW w:w="846" w:type="dxa"/>
          </w:tcPr>
          <w:p w14:paraId="5C27B688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(2) Cooperating Mobile Robots – 6G Network Services</w:t>
            </w:r>
          </w:p>
        </w:tc>
        <w:tc>
          <w:tcPr>
            <w:tcW w:w="1134" w:type="dxa"/>
          </w:tcPr>
          <w:p w14:paraId="7A925592" w14:textId="7A9F510B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4" w:author="Michael Bahr (Siemens)" w:date="2025-11-05T21:44:00Z" w16du:dateUtc="2025-11-05T20:44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 to 10</w:t>
            </w:r>
            <w:del w:id="5" w:author="Michael Bahr (Siemens)" w:date="2025-11-05T21:44:00Z" w16du:dateUtc="2025-11-05T20:44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1134" w:type="dxa"/>
          </w:tcPr>
          <w:p w14:paraId="5AE9BDE5" w14:textId="5DA51EA5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6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&lt;10</w:t>
            </w:r>
            <w:del w:id="7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5426DDC5" w14:textId="67EA4BAD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8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&lt;250</w:t>
            </w:r>
            <w:del w:id="9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7216B7C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2)</w:t>
            </w:r>
          </w:p>
        </w:tc>
        <w:tc>
          <w:tcPr>
            <w:tcW w:w="992" w:type="dxa"/>
          </w:tcPr>
          <w:p w14:paraId="6C94B4F0" w14:textId="57350845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10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99.999 to 99.99999</w:t>
            </w:r>
            <w:del w:id="11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1FEE5A31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note </w:t>
            </w: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4)</w:t>
            </w:r>
          </w:p>
        </w:tc>
        <w:tc>
          <w:tcPr>
            <w:tcW w:w="907" w:type="dxa"/>
          </w:tcPr>
          <w:p w14:paraId="1606DF2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3)</w:t>
            </w:r>
          </w:p>
        </w:tc>
        <w:tc>
          <w:tcPr>
            <w:tcW w:w="907" w:type="dxa"/>
          </w:tcPr>
          <w:p w14:paraId="20AB6403" w14:textId="512DE316" w:rsidR="00634D59" w:rsidRPr="00634D59" w:rsidDel="00AE0D83" w:rsidRDefault="00AE0D83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" w:author="Michael Bahr (Siemens)" w:date="2025-11-06T17:46:00Z" w16du:dateUtc="2025-11-06T16:46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13" w:author="Michael Bahr (Siemens)" w:date="2025-11-06T17:48:00Z" w16du:dateUtc="2025-11-06T16:48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from </w:t>
              </w:r>
            </w:ins>
            <w:del w:id="14" w:author="Michael Bahr (Siemens)" w:date="2025-11-05T21:46:00Z" w16du:dateUtc="2025-11-05T20:46:00Z">
              <w:r w:rsidR="00634D59"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20</w:t>
            </w:r>
            <w:ins w:id="15" w:author="Michael Bahr (Siemens)" w:date="2025-11-06T17:48:00Z" w16du:dateUtc="2025-11-06T16:48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 </w:t>
              </w:r>
            </w:ins>
            <w:ins w:id="16" w:author="Michael Bahr (Siemens)" w:date="2025-11-05T21:48:00Z" w16du:dateUtc="2025-11-05T20:48:00Z">
              <w:r w:rsidR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m</w:t>
              </w:r>
              <w:r w:rsidR="00023674" w:rsidRPr="00023674">
                <w:rPr>
                  <w:rFonts w:ascii="Arial" w:hAnsi="Arial" w:cs="Arial"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 </w:t>
            </w:r>
            <w:ins w:id="17" w:author="Michael Bahr (Siemens)" w:date="2025-11-05T21:48:00Z" w16du:dateUtc="2025-11-05T20:48:00Z">
              <w:r w:rsidR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(indoor) 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up to</w:t>
            </w:r>
            <w:ins w:id="18" w:author="Michael Bahr (Siemens)" w:date="2025-11-06T17:46:00Z" w16du:dateUtc="2025-11-06T16:46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</w:t>
              </w:r>
            </w:ins>
          </w:p>
          <w:p w14:paraId="6A288B33" w14:textId="121046A1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1</w:t>
            </w:r>
            <w:ins w:id="19" w:author="Michael Bahr (Siemens)" w:date="2025-11-06T17:46:00Z" w16du:dateUtc="2025-11-06T16:46:00Z">
              <w:r w:rsidR="00AE0D83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 </w:t>
              </w:r>
            </w:ins>
            <w:ins w:id="20" w:author="Michael Bahr (Siemens)" w:date="2025-11-05T21:48:00Z" w16du:dateUtc="2025-11-05T20:48:00Z">
              <w:r w:rsidR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km</w:t>
              </w:r>
              <w:r w:rsidR="00023674" w:rsidRPr="00023674">
                <w:rPr>
                  <w:rFonts w:ascii="Arial" w:hAnsi="Arial" w:cs="Arial"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  <w:r w:rsidR="00B80084" w:rsidRPr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(outdoor)</w:t>
              </w:r>
            </w:ins>
            <w:del w:id="21" w:author="Michael Bahr (Siemens)" w:date="2025-11-05T21:47:00Z" w16du:dateUtc="2025-11-05T20:47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,000,000</w:delText>
              </w:r>
            </w:del>
            <w:del w:id="22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307101A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5)</w:t>
            </w:r>
          </w:p>
        </w:tc>
        <w:tc>
          <w:tcPr>
            <w:tcW w:w="992" w:type="dxa"/>
          </w:tcPr>
          <w:p w14:paraId="7A58A972" w14:textId="3A230586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23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≤ 10</w:t>
            </w:r>
            <w:del w:id="24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3669757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276" w:type="dxa"/>
          </w:tcPr>
          <w:p w14:paraId="06CB7A26" w14:textId="36D7BDD6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25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≤ 0.5</w:t>
            </w:r>
            <w:del w:id="26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br/>
              <w:t>(note 1)</w:t>
            </w:r>
          </w:p>
        </w:tc>
        <w:tc>
          <w:tcPr>
            <w:tcW w:w="738" w:type="dxa"/>
          </w:tcPr>
          <w:p w14:paraId="4719AE37" w14:textId="7BA622CE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27" w:author="Michael Bahr (Siemens)" w:date="2025-11-05T21:49:00Z" w16du:dateUtc="2025-11-05T20:49:00Z">
              <w:r w:rsidRPr="00634D59" w:rsidDel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 20</w:t>
            </w:r>
            <w:del w:id="28" w:author="Michael Bahr (Siemens)" w:date="2025-11-05T21:49:00Z" w16du:dateUtc="2025-11-05T20:49:00Z">
              <w:r w:rsidRPr="00634D59" w:rsidDel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963" w:type="dxa"/>
          </w:tcPr>
          <w:p w14:paraId="3F3D467A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Robot to Network for services such as digital twin applications, AI/ML compute servers.</w:t>
            </w:r>
          </w:p>
        </w:tc>
      </w:tr>
      <w:tr w:rsidR="00634D59" w:rsidRPr="00634D59" w14:paraId="43FB2B3E" w14:textId="77777777" w:rsidTr="00AE0D83">
        <w:trPr>
          <w:tblHeader/>
        </w:trPr>
        <w:tc>
          <w:tcPr>
            <w:tcW w:w="9918" w:type="dxa"/>
            <w:gridSpan w:val="11"/>
          </w:tcPr>
          <w:p w14:paraId="32242779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1: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Local concentration of mobile robots, for instance, cooperative carrying assuming 8 robots on a space of 4 m x 4 m carrying an object.</w:t>
            </w:r>
          </w:p>
          <w:p w14:paraId="300B1CD5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2: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The higher data rate applies when e.g. immersive XR, AI/ML traffic, digital twin data, is exchanged. Otherwise, the lower data rate applies. It is expected uplink video will be most demanding.</w:t>
            </w:r>
          </w:p>
          <w:p w14:paraId="355DE2FC" w14:textId="46477198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3: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 xml:space="preserve">Any common message size to be expected. Message size depends on type of exchanged data, for instance, sensor data, </w:t>
            </w:r>
            <w:ins w:id="29" w:author="Michael Bahr (Siemens)" w:date="2025-11-05T21:39:00Z" w16du:dateUtc="2025-11-05T20:39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control data,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video streams, immersive XR, AI/ML traffic, digital twin data, etc. </w:t>
            </w:r>
          </w:p>
          <w:p w14:paraId="6DD99B9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4: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The control of real time industrial processes requires very high service reliability. Can be lower for non-real time digital twin or in other contexts (e.g. training, engineering, planning).</w:t>
            </w:r>
          </w:p>
          <w:p w14:paraId="5032B29E" w14:textId="5904AC0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5: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Service area depends on scenario and size of location/collaboration area (collaborative carrying mobile robots (11.</w:t>
            </w:r>
            <w:del w:id="30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x</w:delText>
              </w:r>
            </w:del>
            <w:ins w:id="31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3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.3.1), factory, construction site (11</w:t>
            </w:r>
            <w:ins w:id="32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.3</w:t>
              </w:r>
            </w:ins>
            <w:del w:id="33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 x </w:delText>
              </w:r>
            </w:del>
            <w:ins w:id="34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.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3.</w:t>
            </w:r>
            <w:del w:id="35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5</w:delText>
              </w:r>
            </w:del>
            <w:ins w:id="36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2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), field</w:t>
            </w:r>
            <w:del w:id="37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 (11 x 3.4)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)</w:t>
            </w:r>
          </w:p>
        </w:tc>
      </w:tr>
    </w:tbl>
    <w:p w14:paraId="15B6CD2E" w14:textId="77777777" w:rsidR="00634D59" w:rsidRPr="00634D59" w:rsidRDefault="00634D59" w:rsidP="00634D59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lang w:val="en-US" w:eastAsia="ja-JP"/>
        </w:rPr>
      </w:pPr>
      <w:r w:rsidRPr="00634D59">
        <w:rPr>
          <w:lang w:val="en-US" w:eastAsia="ja-JP"/>
        </w:rPr>
        <w:t>[PR 11.</w:t>
      </w:r>
      <w:r w:rsidRPr="00634D59">
        <w:rPr>
          <w:rFonts w:eastAsia="DengXian" w:hint="eastAsia"/>
          <w:lang w:val="en-US" w:eastAsia="zh-CN"/>
        </w:rPr>
        <w:t>3</w:t>
      </w:r>
      <w:r w:rsidRPr="00634D59">
        <w:rPr>
          <w:lang w:val="en-US" w:eastAsia="ja-JP"/>
        </w:rPr>
        <w:t>.6</w:t>
      </w:r>
      <w:r w:rsidRPr="00634D59">
        <w:rPr>
          <w:rFonts w:eastAsia="SimSun" w:hint="eastAsia"/>
          <w:lang w:val="en-US" w:eastAsia="zh-CN"/>
        </w:rPr>
        <w:t>-</w:t>
      </w:r>
      <w:r w:rsidRPr="00634D59">
        <w:rPr>
          <w:lang w:val="en-US" w:eastAsia="ja-JP"/>
        </w:rPr>
        <w:t>2] The 6G System shall be able to support the following positioning performance requirements to support Cooperating Mobile Robots.</w:t>
      </w:r>
    </w:p>
    <w:p w14:paraId="20EA2784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634D59">
        <w:rPr>
          <w:rFonts w:ascii="Arial" w:hAnsi="Arial"/>
          <w:b/>
          <w:lang w:val="en-US" w:eastAsia="ja-JP"/>
        </w:rPr>
        <w:t>Table 11.</w:t>
      </w:r>
      <w:r w:rsidRPr="00634D59">
        <w:rPr>
          <w:rFonts w:ascii="Arial" w:eastAsia="DengXian" w:hAnsi="Arial" w:hint="eastAsia"/>
          <w:b/>
          <w:lang w:val="en-US" w:eastAsia="zh-CN"/>
        </w:rPr>
        <w:t>3</w:t>
      </w:r>
      <w:r w:rsidRPr="00634D59">
        <w:rPr>
          <w:rFonts w:ascii="Arial" w:hAnsi="Arial"/>
          <w:b/>
          <w:lang w:val="en-US" w:eastAsia="ja-JP"/>
        </w:rPr>
        <w:t>.6-2: Positioning Performance Requirements for Cooperating Mobile Robots use case [112]</w:t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054"/>
        <w:gridCol w:w="2194"/>
        <w:gridCol w:w="1592"/>
        <w:gridCol w:w="3936"/>
      </w:tblGrid>
      <w:tr w:rsidR="00634D59" w:rsidRPr="00634D59" w14:paraId="6057008F" w14:textId="77777777" w:rsidTr="00485D6E">
        <w:trPr>
          <w:tblHeader/>
        </w:trPr>
        <w:tc>
          <w:tcPr>
            <w:tcW w:w="2054" w:type="dxa"/>
          </w:tcPr>
          <w:p w14:paraId="51FAC99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Use Cases</w:t>
            </w:r>
          </w:p>
        </w:tc>
        <w:tc>
          <w:tcPr>
            <w:tcW w:w="2194" w:type="dxa"/>
          </w:tcPr>
          <w:p w14:paraId="1D13BEF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Positioning accuracy (m)</w:t>
            </w:r>
          </w:p>
        </w:tc>
        <w:tc>
          <w:tcPr>
            <w:tcW w:w="1592" w:type="dxa"/>
          </w:tcPr>
          <w:p w14:paraId="19926DF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Velocity (km/h)</w:t>
            </w:r>
          </w:p>
        </w:tc>
        <w:tc>
          <w:tcPr>
            <w:tcW w:w="3936" w:type="dxa"/>
          </w:tcPr>
          <w:p w14:paraId="21915AD9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Remarks</w:t>
            </w:r>
          </w:p>
        </w:tc>
      </w:tr>
      <w:tr w:rsidR="00634D59" w:rsidRPr="00634D59" w14:paraId="313D633A" w14:textId="77777777" w:rsidTr="00485D6E">
        <w:tc>
          <w:tcPr>
            <w:tcW w:w="2054" w:type="dxa"/>
          </w:tcPr>
          <w:p w14:paraId="04BD63F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Cooperating Mobile Robots</w:t>
            </w:r>
          </w:p>
        </w:tc>
        <w:tc>
          <w:tcPr>
            <w:tcW w:w="2194" w:type="dxa"/>
          </w:tcPr>
          <w:p w14:paraId="70B0B16D" w14:textId="2EBF1DDD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38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&lt;0.1</w:t>
            </w:r>
            <w:del w:id="39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br/>
                <w:delText>[&lt;1]</w:delText>
              </w:r>
            </w:del>
          </w:p>
        </w:tc>
        <w:tc>
          <w:tcPr>
            <w:tcW w:w="1592" w:type="dxa"/>
          </w:tcPr>
          <w:p w14:paraId="4593935D" w14:textId="50E7EA7B" w:rsidR="00634D59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 Light"/>
                <w:sz w:val="16"/>
                <w:szCs w:val="16"/>
                <w:lang w:val="en-US" w:eastAsia="ja-JP"/>
              </w:rPr>
            </w:pPr>
            <w:ins w:id="40" w:author="Michael Bahr (Siemens)" w:date="2025-11-05T21:52:00Z" w16du:dateUtc="2025-11-05T20:52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slow (note)</w:t>
              </w:r>
            </w:ins>
            <w:del w:id="41" w:author="Michael Bahr (Siemens)" w:date="2025-11-05T21:50:00Z" w16du:dateUtc="2025-11-05T20:50:00Z">
              <w:r w:rsidR="00634D59" w:rsidRPr="00634D59" w:rsidDel="00B80084"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delText>[&lt; 20]</w:delText>
              </w:r>
            </w:del>
          </w:p>
        </w:tc>
        <w:tc>
          <w:tcPr>
            <w:tcW w:w="3936" w:type="dxa"/>
          </w:tcPr>
          <w:p w14:paraId="49893EDC" w14:textId="7B83360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Collaborative tasks such as handing over material and objects or robot navigation in close distance to other objects require more accurate positioning. </w:t>
            </w:r>
            <w:del w:id="42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Tasks like robot localization can work with less accurate positioning.</w:delText>
              </w:r>
            </w:del>
          </w:p>
        </w:tc>
      </w:tr>
      <w:tr w:rsidR="00B80084" w:rsidRPr="00634D59" w14:paraId="4CD11C3B" w14:textId="77777777" w:rsidTr="00485D6E">
        <w:trPr>
          <w:ins w:id="43" w:author="Michael Bahr (Siemens)" w:date="2025-11-05T21:50:00Z" w16du:dateUtc="2025-11-05T20:50:00Z"/>
        </w:trPr>
        <w:tc>
          <w:tcPr>
            <w:tcW w:w="2054" w:type="dxa"/>
          </w:tcPr>
          <w:p w14:paraId="44DCA68F" w14:textId="45B245E1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45" w:author="Michael Bahr (Siemens)" w:date="2025-11-05T21:50:00Z" w16du:dateUtc="2025-11-05T20:50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Cooperating Mobile Robots</w:t>
              </w:r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– Robot localization</w:t>
              </w:r>
            </w:ins>
          </w:p>
        </w:tc>
        <w:tc>
          <w:tcPr>
            <w:tcW w:w="2194" w:type="dxa"/>
          </w:tcPr>
          <w:p w14:paraId="5FEEA2F9" w14:textId="315A4FD9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47" w:author="Michael Bahr (Siemens)" w:date="2025-11-05T21:51:00Z" w16du:dateUtc="2025-11-05T20:51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&lt;1</w:t>
              </w:r>
            </w:ins>
          </w:p>
        </w:tc>
        <w:tc>
          <w:tcPr>
            <w:tcW w:w="1592" w:type="dxa"/>
          </w:tcPr>
          <w:p w14:paraId="60EF214B" w14:textId="74801878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Michael Bahr (Siemens)" w:date="2025-11-05T21:50:00Z" w16du:dateUtc="2025-11-05T20:50:00Z"/>
                <w:rFonts w:ascii="Arial" w:hAnsi="Arial" w:cs="Calibri Light"/>
                <w:sz w:val="16"/>
                <w:szCs w:val="16"/>
                <w:lang w:val="en-US" w:eastAsia="ja-JP"/>
              </w:rPr>
            </w:pPr>
            <w:ins w:id="49" w:author="Michael Bahr (Siemens)" w:date="2025-11-05T21:50:00Z" w16du:dateUtc="2025-11-05T20:50:00Z">
              <w:r w:rsidRPr="00634D59"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&lt; 20</w:t>
              </w:r>
            </w:ins>
          </w:p>
        </w:tc>
        <w:tc>
          <w:tcPr>
            <w:tcW w:w="3936" w:type="dxa"/>
          </w:tcPr>
          <w:p w14:paraId="50DD173B" w14:textId="11B0D10F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51" w:author="Michael Bahr (Siemens)" w:date="2025-11-05T21:51:00Z" w16du:dateUtc="2025-11-05T20:51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Tasks like robot localization can work with less accurate positioning.</w:t>
              </w:r>
            </w:ins>
          </w:p>
        </w:tc>
      </w:tr>
      <w:tr w:rsidR="00634D59" w:rsidRPr="00634D59" w14:paraId="6E444516" w14:textId="77777777" w:rsidTr="00485D6E">
        <w:tc>
          <w:tcPr>
            <w:tcW w:w="2054" w:type="dxa"/>
          </w:tcPr>
          <w:p w14:paraId="1B1471BA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Human presence detection</w:t>
            </w:r>
          </w:p>
        </w:tc>
        <w:tc>
          <w:tcPr>
            <w:tcW w:w="2194" w:type="dxa"/>
          </w:tcPr>
          <w:p w14:paraId="7A5BB53F" w14:textId="5CEE0DCC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52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0.4</w:t>
            </w:r>
            <w:del w:id="53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1592" w:type="dxa"/>
          </w:tcPr>
          <w:p w14:paraId="2B45396F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 Light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Calibri Light"/>
                <w:sz w:val="16"/>
                <w:szCs w:val="16"/>
                <w:lang w:val="en-US" w:eastAsia="ja-JP"/>
              </w:rPr>
              <w:t>Pedestrian</w:t>
            </w:r>
          </w:p>
        </w:tc>
        <w:tc>
          <w:tcPr>
            <w:tcW w:w="3936" w:type="dxa"/>
          </w:tcPr>
          <w:p w14:paraId="19B9216E" w14:textId="0BA4E508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54" w:author="Michael Bahr (Siemens)" w:date="2025-11-05T21:53:00Z" w16du:dateUtc="2025-11-05T20:53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40 cm</w:t>
            </w:r>
            <w:del w:id="55" w:author="Michael Bahr (Siemens)" w:date="2025-11-05T21:53:00Z" w16du:dateUtc="2025-11-05T20:53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resolution within an area defined by </w:t>
            </w:r>
            <w:del w:id="56" w:author="Michael Bahr (Siemens)" w:date="2025-11-05T21:53:00Z" w16du:dateUtc="2025-11-05T20:53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 m</w:t>
            </w:r>
            <w:del w:id="57" w:author="Michael Bahr (Siemens)" w:date="2025-11-05T21:53:00Z" w16du:dateUtc="2025-11-05T20:53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range around the robot</w:t>
            </w:r>
          </w:p>
        </w:tc>
      </w:tr>
      <w:tr w:rsidR="00B80084" w:rsidRPr="00634D59" w14:paraId="34AC0D74" w14:textId="77777777" w:rsidTr="00E50DA7">
        <w:trPr>
          <w:ins w:id="58" w:author="Michael Bahr (Siemens)" w:date="2025-11-05T21:52:00Z" w16du:dateUtc="2025-11-05T20:52:00Z"/>
        </w:trPr>
        <w:tc>
          <w:tcPr>
            <w:tcW w:w="9776" w:type="dxa"/>
            <w:gridSpan w:val="4"/>
          </w:tcPr>
          <w:p w14:paraId="50DC761D" w14:textId="1C41FD18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Michael Bahr (Siemens)" w:date="2025-11-05T21:52:00Z" w16du:dateUtc="2025-11-05T20:52:00Z"/>
                <w:rFonts w:ascii="Arial" w:hAnsi="Arial"/>
                <w:sz w:val="16"/>
                <w:szCs w:val="16"/>
                <w:lang w:val="en-US" w:eastAsia="ja-JP"/>
              </w:rPr>
            </w:pPr>
            <w:ins w:id="60" w:author="Michael Bahr (Siemens)" w:date="2025-11-05T21:52:00Z" w16du:dateUtc="2025-11-05T20:52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NOTE:</w:t>
              </w:r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ab/>
                <w:t>Velocity of</w:t>
              </w:r>
            </w:ins>
            <w:ins w:id="61" w:author="Michael Bahr (Siemens)" w:date="2025-11-05T21:53:00Z" w16du:dateUtc="2025-11-05T20:53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robots is usually slow and adapted to the localization performance in such situations.</w:t>
              </w:r>
            </w:ins>
          </w:p>
        </w:tc>
      </w:tr>
    </w:tbl>
    <w:p w14:paraId="4C1B4BD0" w14:textId="77777777" w:rsidR="00634D59" w:rsidRPr="00634D59" w:rsidRDefault="00634D59" w:rsidP="00634D5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703C8726" w14:textId="5D787EFD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4617" w14:textId="77777777" w:rsidR="00001DCB" w:rsidRDefault="00001DCB">
      <w:r>
        <w:separator/>
      </w:r>
    </w:p>
  </w:endnote>
  <w:endnote w:type="continuationSeparator" w:id="0">
    <w:p w14:paraId="115A89BA" w14:textId="77777777" w:rsidR="00001DCB" w:rsidRDefault="0000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2AAEC" w14:textId="77777777" w:rsidR="00001DCB" w:rsidRDefault="00001DCB">
      <w:r>
        <w:separator/>
      </w:r>
    </w:p>
  </w:footnote>
  <w:footnote w:type="continuationSeparator" w:id="0">
    <w:p w14:paraId="7EB03F79" w14:textId="77777777" w:rsidR="00001DCB" w:rsidRDefault="0000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BE6814"/>
    <w:multiLevelType w:val="hybridMultilevel"/>
    <w:tmpl w:val="03541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817426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CB"/>
    <w:rsid w:val="00016082"/>
    <w:rsid w:val="00023674"/>
    <w:rsid w:val="00033397"/>
    <w:rsid w:val="00037044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4D59"/>
    <w:rsid w:val="0063543D"/>
    <w:rsid w:val="00641D53"/>
    <w:rsid w:val="00647114"/>
    <w:rsid w:val="00663881"/>
    <w:rsid w:val="00687DC4"/>
    <w:rsid w:val="006912E9"/>
    <w:rsid w:val="006A323F"/>
    <w:rsid w:val="006B30D0"/>
    <w:rsid w:val="006B7BC7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8773E"/>
    <w:rsid w:val="008C27ED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94AB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D83"/>
    <w:rsid w:val="00AE65E2"/>
    <w:rsid w:val="00AF1460"/>
    <w:rsid w:val="00B12BA0"/>
    <w:rsid w:val="00B15449"/>
    <w:rsid w:val="00B8008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5C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F1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5C5F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table" w:customStyle="1" w:styleId="Tabellenraster1">
    <w:name w:val="Tabellenraster1"/>
    <w:basedOn w:val="NormaleTabelle"/>
    <w:next w:val="Tabellenraster"/>
    <w:uiPriority w:val="39"/>
    <w:qFormat/>
    <w:rsid w:val="00634D59"/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023674"/>
    <w:rPr>
      <w:lang w:eastAsia="en-US"/>
    </w:rPr>
  </w:style>
  <w:style w:type="paragraph" w:styleId="Listenabsatz">
    <w:name w:val="List Paragraph"/>
    <w:basedOn w:val="Standard"/>
    <w:uiPriority w:val="34"/>
    <w:qFormat/>
    <w:rsid w:val="00037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516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3766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(Siemens)</cp:lastModifiedBy>
  <cp:revision>3</cp:revision>
  <cp:lastPrinted>2019-02-25T14:05:00Z</cp:lastPrinted>
  <dcterms:created xsi:type="dcterms:W3CDTF">2025-11-06T17:45:00Z</dcterms:created>
  <dcterms:modified xsi:type="dcterms:W3CDTF">2025-11-06T17:46:00Z</dcterms:modified>
</cp:coreProperties>
</file>